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54476">
      <w:pPr>
        <w:pStyle w:val="5"/>
        <w:widowControl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附件1：</w:t>
      </w:r>
    </w:p>
    <w:p w14:paraId="61F9D5B1">
      <w:pPr>
        <w:pStyle w:val="2"/>
        <w:spacing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28"/>
          <w:highlight w:val="none"/>
          <w:u w:val="none" w:color="auto"/>
        </w:rPr>
      </w:pPr>
      <w:r>
        <w:rPr>
          <w:rFonts w:hint="eastAsia" w:ascii="方正小标宋_GBK" w:hAnsi="方正小标宋_GBK" w:eastAsia="方正小标宋_GBK" w:cs="方正小标宋_GBK"/>
          <w:sz w:val="44"/>
          <w:szCs w:val="28"/>
          <w:highlight w:val="none"/>
          <w:u w:val="none" w:color="auto"/>
        </w:rPr>
        <w:t>XX公司福田区证券交易额证明</w:t>
      </w:r>
    </w:p>
    <w:p w14:paraId="75286079">
      <w:pPr>
        <w:widowControl/>
        <w:spacing w:line="560" w:lineRule="exact"/>
        <w:jc w:val="center"/>
        <w:textAlignment w:val="center"/>
        <w:rPr>
          <w:rFonts w:ascii="楷体" w:hAnsi="楷体" w:eastAsia="楷体" w:cs="楷体"/>
          <w:bCs/>
          <w:kern w:val="0"/>
          <w:sz w:val="28"/>
          <w:szCs w:val="28"/>
          <w:highlight w:val="none"/>
          <w:u w:val="none" w:color="auto"/>
        </w:rPr>
      </w:pPr>
      <w:r>
        <w:rPr>
          <w:rFonts w:hint="eastAsia" w:ascii="楷体" w:hAnsi="楷体" w:eastAsia="楷体" w:cs="楷体"/>
          <w:bCs/>
          <w:kern w:val="0"/>
          <w:sz w:val="28"/>
          <w:szCs w:val="28"/>
          <w:highlight w:val="none"/>
          <w:u w:val="none" w:color="auto"/>
        </w:rPr>
        <w:t>（可适当修改）</w:t>
      </w:r>
    </w:p>
    <w:p w14:paraId="28F7F54E">
      <w:pPr>
        <w:pStyle w:val="2"/>
        <w:spacing w:line="560" w:lineRule="exact"/>
        <w:rPr>
          <w:rFonts w:ascii="仿宋_GB2312" w:hAnsi="仿宋_GB2312" w:eastAsia="仿宋_GB2312" w:cs="仿宋_GB2312"/>
          <w:szCs w:val="21"/>
          <w:highlight w:val="none"/>
          <w:u w:val="none" w:color="auto"/>
        </w:rPr>
      </w:pPr>
    </w:p>
    <w:p w14:paraId="5487E3BA">
      <w:pPr>
        <w:pStyle w:val="2"/>
        <w:spacing w:line="560" w:lineRule="exact"/>
        <w:ind w:firstLine="0" w:firstLineChars="0"/>
        <w:rPr>
          <w:rFonts w:ascii="仿宋_GB2312" w:hAnsi="仿宋_GB2312" w:eastAsia="仿宋_GB2312" w:cs="仿宋_GB2312"/>
          <w:szCs w:val="21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</w:rPr>
        <w:t>深圳市福田区金融</w:t>
      </w: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  <w:lang w:eastAsia="zh-CN"/>
        </w:rPr>
        <w:t>服务和风险防控中心</w:t>
      </w: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</w:rPr>
        <w:t>：</w:t>
      </w:r>
    </w:p>
    <w:p w14:paraId="25A5BBA5">
      <w:pPr>
        <w:pStyle w:val="2"/>
        <w:spacing w:line="560" w:lineRule="exact"/>
        <w:rPr>
          <w:rFonts w:ascii="仿宋_GB2312" w:hAnsi="仿宋_GB2312" w:eastAsia="仿宋_GB2312" w:cs="仿宋_GB2312"/>
          <w:szCs w:val="21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</w:rPr>
        <w:t>XX公司为我司合作的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none" w:color="auto"/>
        </w:rPr>
        <w:t>私募证券投资基金管理企业</w:t>
      </w: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</w:rPr>
        <w:t>，旗下基金产品202</w:t>
      </w: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</w:rPr>
        <w:t>年度在我司证券交易额合计为XX亿元，具体如下：</w:t>
      </w:r>
    </w:p>
    <w:tbl>
      <w:tblPr>
        <w:tblStyle w:val="7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304"/>
        <w:gridCol w:w="2154"/>
        <w:gridCol w:w="2041"/>
        <w:gridCol w:w="1701"/>
        <w:gridCol w:w="1701"/>
      </w:tblGrid>
      <w:tr w14:paraId="07C2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24" w:type="dxa"/>
            <w:vAlign w:val="center"/>
          </w:tcPr>
          <w:p w14:paraId="689F2F1F">
            <w:pPr>
              <w:pStyle w:val="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  <w:t>序号</w:t>
            </w:r>
          </w:p>
        </w:tc>
        <w:tc>
          <w:tcPr>
            <w:tcW w:w="1304" w:type="dxa"/>
            <w:vAlign w:val="center"/>
          </w:tcPr>
          <w:p w14:paraId="268E5743">
            <w:pPr>
              <w:pStyle w:val="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  <w:t>客户号</w:t>
            </w:r>
          </w:p>
        </w:tc>
        <w:tc>
          <w:tcPr>
            <w:tcW w:w="2154" w:type="dxa"/>
            <w:vAlign w:val="center"/>
          </w:tcPr>
          <w:p w14:paraId="769E8C89">
            <w:pPr>
              <w:pStyle w:val="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  <w:t>产品名称</w:t>
            </w:r>
          </w:p>
        </w:tc>
        <w:tc>
          <w:tcPr>
            <w:tcW w:w="2041" w:type="dxa"/>
            <w:vAlign w:val="center"/>
          </w:tcPr>
          <w:p w14:paraId="00AC64C4">
            <w:pPr>
              <w:pStyle w:val="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  <w:t>营业部</w:t>
            </w:r>
          </w:p>
        </w:tc>
        <w:tc>
          <w:tcPr>
            <w:tcW w:w="1701" w:type="dxa"/>
            <w:vAlign w:val="center"/>
          </w:tcPr>
          <w:p w14:paraId="23E5959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  <w:lang w:eastAsia="zh-CN"/>
              </w:rPr>
              <w:t>产品规模</w:t>
            </w:r>
          </w:p>
          <w:p w14:paraId="37F83E83">
            <w:pPr>
              <w:pStyle w:val="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  <w:t>（亿元）</w:t>
            </w:r>
          </w:p>
        </w:tc>
        <w:tc>
          <w:tcPr>
            <w:tcW w:w="1701" w:type="dxa"/>
            <w:vAlign w:val="center"/>
          </w:tcPr>
          <w:p w14:paraId="3CACB5BA">
            <w:pPr>
              <w:pStyle w:val="2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  <w:t>证券交易额（亿元）</w:t>
            </w:r>
          </w:p>
        </w:tc>
      </w:tr>
      <w:tr w14:paraId="4C9D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4" w:type="dxa"/>
            <w:vAlign w:val="center"/>
          </w:tcPr>
          <w:p w14:paraId="15A8D585"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  <w:t>1</w:t>
            </w:r>
          </w:p>
        </w:tc>
        <w:tc>
          <w:tcPr>
            <w:tcW w:w="1304" w:type="dxa"/>
            <w:vAlign w:val="center"/>
          </w:tcPr>
          <w:p w14:paraId="3F5CEB5E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2154" w:type="dxa"/>
            <w:vAlign w:val="center"/>
          </w:tcPr>
          <w:p w14:paraId="31F6265E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2041" w:type="dxa"/>
            <w:vAlign w:val="center"/>
          </w:tcPr>
          <w:p w14:paraId="6E7181F7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1701" w:type="dxa"/>
            <w:vAlign w:val="center"/>
          </w:tcPr>
          <w:p w14:paraId="065EEE36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1701" w:type="dxa"/>
            <w:vAlign w:val="center"/>
          </w:tcPr>
          <w:p w14:paraId="498926C7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</w:tr>
      <w:tr w14:paraId="3AA8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4" w:type="dxa"/>
            <w:vAlign w:val="center"/>
          </w:tcPr>
          <w:p w14:paraId="57A6D737"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  <w:t>2</w:t>
            </w:r>
          </w:p>
        </w:tc>
        <w:tc>
          <w:tcPr>
            <w:tcW w:w="1304" w:type="dxa"/>
            <w:vAlign w:val="center"/>
          </w:tcPr>
          <w:p w14:paraId="6DB16CCE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2154" w:type="dxa"/>
            <w:vAlign w:val="center"/>
          </w:tcPr>
          <w:p w14:paraId="6207509E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2041" w:type="dxa"/>
            <w:vAlign w:val="center"/>
          </w:tcPr>
          <w:p w14:paraId="3345FEC1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1701" w:type="dxa"/>
            <w:vAlign w:val="center"/>
          </w:tcPr>
          <w:p w14:paraId="269FBE45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1701" w:type="dxa"/>
            <w:vAlign w:val="center"/>
          </w:tcPr>
          <w:p w14:paraId="1CD0DCB4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</w:tr>
      <w:tr w14:paraId="6C45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4" w:type="dxa"/>
            <w:vAlign w:val="center"/>
          </w:tcPr>
          <w:p w14:paraId="465CDB58"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  <w:t>3</w:t>
            </w:r>
          </w:p>
        </w:tc>
        <w:tc>
          <w:tcPr>
            <w:tcW w:w="1304" w:type="dxa"/>
            <w:vAlign w:val="center"/>
          </w:tcPr>
          <w:p w14:paraId="1F6653F1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2154" w:type="dxa"/>
            <w:vAlign w:val="center"/>
          </w:tcPr>
          <w:p w14:paraId="7DCA33B1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2041" w:type="dxa"/>
            <w:vAlign w:val="center"/>
          </w:tcPr>
          <w:p w14:paraId="55AC7A49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1701" w:type="dxa"/>
            <w:vAlign w:val="center"/>
          </w:tcPr>
          <w:p w14:paraId="0D378C04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  <w:tc>
          <w:tcPr>
            <w:tcW w:w="1701" w:type="dxa"/>
            <w:vAlign w:val="center"/>
          </w:tcPr>
          <w:p w14:paraId="79DC6910">
            <w:pPr>
              <w:pStyle w:val="2"/>
              <w:spacing w:line="56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u w:val="none" w:color="auto"/>
              </w:rPr>
            </w:pPr>
          </w:p>
        </w:tc>
      </w:tr>
    </w:tbl>
    <w:p w14:paraId="3639601A">
      <w:pPr>
        <w:pStyle w:val="2"/>
        <w:spacing w:line="560" w:lineRule="exact"/>
        <w:rPr>
          <w:rFonts w:ascii="仿宋_GB2312" w:hAnsi="仿宋_GB2312" w:eastAsia="仿宋_GB2312" w:cs="仿宋_GB2312"/>
          <w:szCs w:val="21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</w:rPr>
        <w:t>我司承诺以上数据与上报中国证监会系统统计口径一致，并对上述信息的真实性予以保证。</w:t>
      </w:r>
    </w:p>
    <w:p w14:paraId="5AF06A9E">
      <w:pPr>
        <w:pStyle w:val="2"/>
        <w:spacing w:line="560" w:lineRule="exact"/>
        <w:rPr>
          <w:rFonts w:ascii="仿宋_GB2312" w:hAnsi="仿宋_GB2312" w:eastAsia="仿宋_GB2312" w:cs="仿宋_GB2312"/>
          <w:szCs w:val="21"/>
          <w:highlight w:val="none"/>
          <w:u w:val="none" w:color="auto"/>
        </w:rPr>
      </w:pPr>
    </w:p>
    <w:p w14:paraId="6B20E2C3">
      <w:pPr>
        <w:pStyle w:val="2"/>
        <w:spacing w:line="560" w:lineRule="exact"/>
        <w:rPr>
          <w:rFonts w:ascii="仿宋_GB2312" w:hAnsi="仿宋_GB2312" w:eastAsia="仿宋_GB2312" w:cs="仿宋_GB2312"/>
          <w:szCs w:val="21"/>
          <w:highlight w:val="none"/>
          <w:u w:val="none" w:color="auto"/>
        </w:rPr>
      </w:pPr>
    </w:p>
    <w:p w14:paraId="170745F8">
      <w:pPr>
        <w:pStyle w:val="2"/>
        <w:wordWrap w:val="0"/>
        <w:spacing w:line="560" w:lineRule="exact"/>
        <w:jc w:val="right"/>
        <w:rPr>
          <w:rFonts w:ascii="仿宋_GB2312" w:hAnsi="仿宋_GB2312" w:eastAsia="仿宋_GB2312" w:cs="仿宋_GB2312"/>
          <w:szCs w:val="21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</w:rPr>
        <w:t xml:space="preserve">XX证券公司   </w:t>
      </w:r>
    </w:p>
    <w:p w14:paraId="2AC2317C">
      <w:pPr>
        <w:pStyle w:val="2"/>
        <w:wordWrap w:val="0"/>
        <w:spacing w:line="560" w:lineRule="exact"/>
        <w:jc w:val="right"/>
        <w:rPr>
          <w:rFonts w:ascii="仿宋_GB2312" w:hAnsi="仿宋_GB2312" w:eastAsia="仿宋_GB2312" w:cs="仿宋_GB2312"/>
          <w:szCs w:val="21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</w:rPr>
        <w:t xml:space="preserve">（盖章）    </w:t>
      </w:r>
    </w:p>
    <w:p w14:paraId="5A96ABB4">
      <w:pPr>
        <w:pStyle w:val="2"/>
        <w:wordWrap w:val="0"/>
        <w:spacing w:line="560" w:lineRule="exact"/>
        <w:jc w:val="right"/>
        <w:rPr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</w:rPr>
        <w:t>202</w:t>
      </w: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1"/>
          <w:highlight w:val="none"/>
          <w:u w:val="none" w:color="auto"/>
        </w:rPr>
        <w:t>年X月X日</w:t>
      </w:r>
    </w:p>
    <w:p w14:paraId="515E48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D336E"/>
    <w:rsid w:val="1DAD336E"/>
    <w:rsid w:val="699A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after="0"/>
      <w:ind w:firstLine="640" w:firstLineChars="200"/>
      <w:jc w:val="both"/>
      <w:textAlignment w:val="baseline"/>
    </w:pPr>
    <w:rPr>
      <w:rFonts w:ascii="Times New Roman" w:hAnsi="Times New Roman" w:eastAsia="黑体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190</Characters>
  <Lines>0</Lines>
  <Paragraphs>0</Paragraphs>
  <TotalTime>0</TotalTime>
  <ScaleCrop>false</ScaleCrop>
  <LinksUpToDate>false</LinksUpToDate>
  <CharactersWithSpaces>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2025-08-08T06:45:00Z</dcterms:created>
  <dc:creator>胡惠玲</dc:creator>
  <cp:lastModifiedBy>Cancy</cp:lastModifiedBy>
  <dcterms:modified xsi:type="dcterms:W3CDTF">2025-08-11T06:09:37Z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E7D083C4747D430BA17156F0E0BEE40E_13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